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DA312" w14:textId="77777777" w:rsidR="00883D55" w:rsidRDefault="00883D55">
      <w:pPr>
        <w:pStyle w:val="Normal1"/>
      </w:pPr>
      <w:bookmarkStart w:id="0" w:name="_GoBack"/>
      <w:bookmarkEnd w:id="0"/>
    </w:p>
    <w:p w14:paraId="1140ACA7" w14:textId="792C328B" w:rsidR="00FD2D75" w:rsidRPr="00FD2D75" w:rsidRDefault="00141624" w:rsidP="00FD2D75">
      <w:pPr>
        <w:pStyle w:val="Heading2"/>
        <w:bidi/>
        <w:rPr>
          <w:rFonts w:ascii="Jomhuria" w:eastAsia="Jomhuria" w:hAnsi="Jomhuria" w:cs="Times New Roman"/>
          <w:color w:val="6C217F"/>
          <w:rtl/>
        </w:rPr>
      </w:pPr>
      <w:bookmarkStart w:id="1" w:name="_58v8f3p5n4fh" w:colFirst="0" w:colLast="0"/>
      <w:bookmarkEnd w:id="1"/>
      <w:r>
        <w:rPr>
          <w:rFonts w:ascii="Jomhuria" w:eastAsia="Jomhuria" w:hAnsi="Jomhuria" w:cs="Times New Roman"/>
          <w:color w:val="6C217F"/>
          <w:rtl/>
        </w:rPr>
        <w:t>قالب</w:t>
      </w:r>
      <w:r>
        <w:rPr>
          <w:color w:val="6C217F"/>
          <w:rtl/>
        </w:rPr>
        <w:t xml:space="preserve"> </w:t>
      </w:r>
      <w:r>
        <w:rPr>
          <w:rFonts w:ascii="Jomhuria" w:eastAsia="Jomhuria" w:hAnsi="Jomhuria" w:cs="Times New Roman"/>
          <w:color w:val="6C217F"/>
          <w:rtl/>
        </w:rPr>
        <w:t>تحليل</w:t>
      </w:r>
      <w:r>
        <w:rPr>
          <w:color w:val="6C217F"/>
          <w:rtl/>
        </w:rPr>
        <w:t xml:space="preserve"> </w:t>
      </w:r>
      <w:r>
        <w:rPr>
          <w:rFonts w:ascii="Jomhuria" w:eastAsia="Jomhuria" w:hAnsi="Jomhuria" w:cs="Times New Roman"/>
          <w:color w:val="6C217F"/>
          <w:rtl/>
        </w:rPr>
        <w:t>مخاطر</w:t>
      </w:r>
      <w:r>
        <w:rPr>
          <w:color w:val="6C217F"/>
          <w:rtl/>
        </w:rPr>
        <w:t xml:space="preserve"> </w:t>
      </w:r>
      <w:r>
        <w:rPr>
          <w:rFonts w:ascii="Jomhuria" w:eastAsia="Jomhuria" w:hAnsi="Jomhuria" w:cs="Times New Roman"/>
          <w:color w:val="6C217F"/>
          <w:rtl/>
        </w:rPr>
        <w:t>العنف</w:t>
      </w:r>
      <w:r>
        <w:rPr>
          <w:color w:val="6C217F"/>
          <w:rtl/>
        </w:rPr>
        <w:t xml:space="preserve"> </w:t>
      </w:r>
      <w:r>
        <w:rPr>
          <w:rFonts w:ascii="Jomhuria" w:eastAsia="Jomhuria" w:hAnsi="Jomhuria" w:cs="Times New Roman"/>
          <w:color w:val="6C217F"/>
          <w:rtl/>
        </w:rPr>
        <w:t>القائم</w:t>
      </w:r>
      <w:r>
        <w:rPr>
          <w:color w:val="6C217F"/>
          <w:rtl/>
        </w:rPr>
        <w:t xml:space="preserve"> </w:t>
      </w:r>
      <w:r>
        <w:rPr>
          <w:rFonts w:ascii="Jomhuria" w:eastAsia="Jomhuria" w:hAnsi="Jomhuria" w:cs="Times New Roman"/>
          <w:color w:val="6C217F"/>
          <w:rtl/>
        </w:rPr>
        <w:t>على</w:t>
      </w:r>
      <w:r>
        <w:rPr>
          <w:color w:val="6C217F"/>
          <w:rtl/>
        </w:rPr>
        <w:t xml:space="preserve"> </w:t>
      </w:r>
      <w:r>
        <w:rPr>
          <w:rFonts w:ascii="Jomhuria" w:eastAsia="Jomhuria" w:hAnsi="Jomhuria" w:cs="Times New Roman"/>
          <w:color w:val="6C217F"/>
          <w:rtl/>
        </w:rPr>
        <w:t>النوع</w:t>
      </w:r>
      <w:r>
        <w:rPr>
          <w:color w:val="6C217F"/>
          <w:rtl/>
        </w:rPr>
        <w:t xml:space="preserve"> </w:t>
      </w:r>
      <w:r>
        <w:rPr>
          <w:rFonts w:ascii="Jomhuria" w:eastAsia="Jomhuria" w:hAnsi="Jomhuria" w:cs="Times New Roman"/>
          <w:color w:val="6C217F"/>
          <w:rtl/>
        </w:rPr>
        <w:t>ال</w:t>
      </w:r>
      <w:r w:rsidR="004008BE">
        <w:rPr>
          <w:rFonts w:ascii="Jomhuria" w:eastAsia="Jomhuria" w:hAnsi="Jomhuria" w:cs="Times New Roman" w:hint="cs"/>
          <w:color w:val="6C217F"/>
          <w:rtl/>
          <w:lang w:bidi="ar-JO"/>
        </w:rPr>
        <w:t>ا</w:t>
      </w:r>
      <w:proofErr w:type="spellStart"/>
      <w:r>
        <w:rPr>
          <w:rFonts w:ascii="Jomhuria" w:eastAsia="Jomhuria" w:hAnsi="Jomhuria" w:cs="Times New Roman"/>
          <w:color w:val="6C217F"/>
          <w:rtl/>
        </w:rPr>
        <w:t>جتماعي</w:t>
      </w:r>
      <w:proofErr w:type="spellEnd"/>
      <w:r>
        <w:rPr>
          <w:color w:val="6C217F"/>
          <w:rtl/>
        </w:rPr>
        <w:t xml:space="preserve"> </w:t>
      </w:r>
      <w:r>
        <w:rPr>
          <w:rFonts w:ascii="Jomhuria" w:eastAsia="Jomhuria" w:hAnsi="Jomhuria" w:cs="Times New Roman"/>
          <w:color w:val="6C217F"/>
          <w:rtl/>
        </w:rPr>
        <w:t>للمساعدات</w:t>
      </w:r>
      <w:r>
        <w:rPr>
          <w:color w:val="6C217F"/>
          <w:rtl/>
        </w:rPr>
        <w:t xml:space="preserve"> </w:t>
      </w:r>
      <w:r>
        <w:rPr>
          <w:rFonts w:ascii="Jomhuria" w:eastAsia="Jomhuria" w:hAnsi="Jomhuria" w:cs="Times New Roman"/>
          <w:color w:val="6C217F"/>
          <w:rtl/>
        </w:rPr>
        <w:t>النقدية</w:t>
      </w:r>
      <w:r>
        <w:rPr>
          <w:color w:val="6C217F"/>
          <w:rtl/>
        </w:rPr>
        <w:t xml:space="preserve"> </w:t>
      </w:r>
      <w:r>
        <w:rPr>
          <w:rFonts w:ascii="Jomhuria" w:eastAsia="Jomhuria" w:hAnsi="Jomhuria" w:cs="Times New Roman"/>
          <w:color w:val="6C217F"/>
          <w:rtl/>
        </w:rPr>
        <w:t>والقسائم</w:t>
      </w:r>
    </w:p>
    <w:tbl>
      <w:tblPr>
        <w:tblStyle w:val="TableGrid"/>
        <w:tblW w:w="0" w:type="auto"/>
        <w:jc w:val="righ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48"/>
        <w:gridCol w:w="2247"/>
        <w:gridCol w:w="2390"/>
        <w:gridCol w:w="2528"/>
        <w:gridCol w:w="2527"/>
        <w:gridCol w:w="2450"/>
      </w:tblGrid>
      <w:tr w:rsidR="008A4ABF" w14:paraId="5C373204" w14:textId="77777777" w:rsidTr="00B0711E">
        <w:trPr>
          <w:jc w:val="right"/>
        </w:trPr>
        <w:tc>
          <w:tcPr>
            <w:tcW w:w="2268" w:type="dxa"/>
            <w:shd w:val="clear" w:color="auto" w:fill="7030A0"/>
            <w:vAlign w:val="center"/>
          </w:tcPr>
          <w:p w14:paraId="68F9AC82" w14:textId="77777777" w:rsidR="008A4ABF" w:rsidRPr="00B0711E" w:rsidRDefault="008A4ABF" w:rsidP="00B0711E">
            <w:pPr>
              <w:bidi/>
              <w:rPr>
                <w:b/>
                <w:bCs/>
                <w:color w:val="FFFFFF" w:themeColor="background1"/>
              </w:rPr>
            </w:pPr>
            <w:r w:rsidRPr="00B0711E">
              <w:rPr>
                <w:rFonts w:hint="cs"/>
                <w:b/>
                <w:bCs/>
                <w:color w:val="FFFFFF" w:themeColor="background1"/>
                <w:rtl/>
              </w:rPr>
              <w:t>الفوائد المحتملة في هذا المجال</w:t>
            </w:r>
          </w:p>
        </w:tc>
        <w:tc>
          <w:tcPr>
            <w:tcW w:w="2268" w:type="dxa"/>
            <w:shd w:val="clear" w:color="auto" w:fill="7030A0"/>
            <w:vAlign w:val="center"/>
          </w:tcPr>
          <w:p w14:paraId="4D5BD5B6" w14:textId="77777777" w:rsidR="008A4ABF" w:rsidRPr="00B0711E" w:rsidRDefault="008A4ABF" w:rsidP="00B0711E">
            <w:pPr>
              <w:bidi/>
              <w:rPr>
                <w:b/>
                <w:bCs/>
                <w:color w:val="FFFFFF" w:themeColor="background1"/>
              </w:rPr>
            </w:pPr>
            <w:r w:rsidRPr="00B0711E">
              <w:rPr>
                <w:rFonts w:hint="cs"/>
                <w:b/>
                <w:bCs/>
                <w:color w:val="FFFFFF" w:themeColor="background1"/>
                <w:rtl/>
              </w:rPr>
              <w:t>تدابير الجهات الفاعلة في مجال العمل الإنساني للحد من المخاطر</w:t>
            </w:r>
          </w:p>
        </w:tc>
        <w:tc>
          <w:tcPr>
            <w:tcW w:w="2410" w:type="dxa"/>
            <w:shd w:val="clear" w:color="auto" w:fill="7030A0"/>
            <w:vAlign w:val="center"/>
          </w:tcPr>
          <w:p w14:paraId="572282D4" w14:textId="77777777" w:rsidR="008A4ABF" w:rsidRPr="00B0711E" w:rsidRDefault="008A4ABF" w:rsidP="00B0711E">
            <w:pPr>
              <w:bidi/>
              <w:rPr>
                <w:b/>
                <w:bCs/>
                <w:color w:val="FFFFFF" w:themeColor="background1"/>
              </w:rPr>
            </w:pPr>
            <w:r w:rsidRPr="00B0711E">
              <w:rPr>
                <w:rFonts w:hint="cs"/>
                <w:b/>
                <w:bCs/>
                <w:color w:val="FFFFFF" w:themeColor="background1"/>
                <w:rtl/>
              </w:rPr>
              <w:t>التدابير الفردية والمجتمعية للحد من المخاطر</w:t>
            </w:r>
          </w:p>
        </w:tc>
        <w:tc>
          <w:tcPr>
            <w:tcW w:w="2552" w:type="dxa"/>
            <w:shd w:val="clear" w:color="auto" w:fill="7030A0"/>
            <w:vAlign w:val="center"/>
          </w:tcPr>
          <w:p w14:paraId="6201E571" w14:textId="77777777" w:rsidR="008A4ABF" w:rsidRPr="00B0711E" w:rsidRDefault="008A4ABF" w:rsidP="00B0711E">
            <w:pPr>
              <w:bidi/>
              <w:rPr>
                <w:b/>
                <w:bCs/>
                <w:color w:val="FFFFFF" w:themeColor="background1"/>
              </w:rPr>
            </w:pPr>
            <w:r w:rsidRPr="00B0711E">
              <w:rPr>
                <w:rFonts w:hint="cs"/>
                <w:b/>
                <w:bCs/>
                <w:color w:val="FFFFFF" w:themeColor="background1"/>
                <w:rtl/>
              </w:rPr>
              <w:t>الأنواع المحتملة للعنف القائم على النوع الاجتماعي</w:t>
            </w:r>
          </w:p>
        </w:tc>
        <w:tc>
          <w:tcPr>
            <w:tcW w:w="2551" w:type="dxa"/>
            <w:shd w:val="clear" w:color="auto" w:fill="7030A0"/>
            <w:vAlign w:val="center"/>
          </w:tcPr>
          <w:p w14:paraId="7DCC0580" w14:textId="77777777" w:rsidR="008A4ABF" w:rsidRPr="00B0711E" w:rsidRDefault="008A4ABF" w:rsidP="00B0711E">
            <w:pPr>
              <w:bidi/>
              <w:rPr>
                <w:b/>
                <w:bCs/>
                <w:color w:val="FFFFFF" w:themeColor="background1"/>
              </w:rPr>
            </w:pPr>
            <w:r w:rsidRPr="00B0711E">
              <w:rPr>
                <w:rFonts w:hint="cs"/>
                <w:b/>
                <w:bCs/>
                <w:color w:val="FFFFFF" w:themeColor="background1"/>
                <w:rtl/>
              </w:rPr>
              <w:t>مخاطر العنف القائم على النوع الاجتماعي (الخاصة بالسياق)</w:t>
            </w:r>
          </w:p>
        </w:tc>
        <w:tc>
          <w:tcPr>
            <w:tcW w:w="2459" w:type="dxa"/>
            <w:shd w:val="clear" w:color="auto" w:fill="7030A0"/>
            <w:vAlign w:val="center"/>
          </w:tcPr>
          <w:p w14:paraId="16FBFD75" w14:textId="77777777" w:rsidR="008A4ABF" w:rsidRPr="00B0711E" w:rsidRDefault="008A4ABF" w:rsidP="00B0711E">
            <w:pPr>
              <w:bidi/>
              <w:rPr>
                <w:b/>
                <w:bCs/>
                <w:color w:val="FFFFFF" w:themeColor="background1"/>
              </w:rPr>
            </w:pPr>
            <w:r w:rsidRPr="00B0711E">
              <w:rPr>
                <w:rFonts w:hint="cs"/>
                <w:b/>
                <w:bCs/>
                <w:color w:val="FFFFFF" w:themeColor="background1"/>
                <w:rtl/>
              </w:rPr>
              <w:t>فئة مخاطر العنف القائم على النوع الاجتماعي/المساعدات النقدية والقسائم</w:t>
            </w:r>
          </w:p>
        </w:tc>
      </w:tr>
      <w:tr w:rsidR="008A4ABF" w14:paraId="2407339E" w14:textId="77777777" w:rsidTr="00B0711E">
        <w:trPr>
          <w:jc w:val="right"/>
        </w:trPr>
        <w:tc>
          <w:tcPr>
            <w:tcW w:w="2268" w:type="dxa"/>
          </w:tcPr>
          <w:p w14:paraId="4C86AC5A" w14:textId="77777777" w:rsidR="008A4ABF" w:rsidRPr="00141624" w:rsidRDefault="008A4ABF" w:rsidP="008A4ABF">
            <w:pPr>
              <w:pStyle w:val="Normal1"/>
              <w:widowControl w:val="0"/>
              <w:bidi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EDDEC" w14:textId="77777777" w:rsidR="008A4ABF" w:rsidRDefault="008A4ABF" w:rsidP="008A4ABF">
            <w:pPr>
              <w:bidi/>
            </w:pPr>
          </w:p>
        </w:tc>
        <w:tc>
          <w:tcPr>
            <w:tcW w:w="2410" w:type="dxa"/>
          </w:tcPr>
          <w:p w14:paraId="34E48FC9" w14:textId="77777777" w:rsidR="008A4ABF" w:rsidRDefault="008A4ABF" w:rsidP="008A4ABF">
            <w:pPr>
              <w:bidi/>
            </w:pPr>
          </w:p>
        </w:tc>
        <w:tc>
          <w:tcPr>
            <w:tcW w:w="2552" w:type="dxa"/>
          </w:tcPr>
          <w:p w14:paraId="3F6CDED2" w14:textId="77777777" w:rsidR="008A4ABF" w:rsidRDefault="008A4ABF" w:rsidP="008A4ABF">
            <w:pPr>
              <w:bidi/>
            </w:pPr>
          </w:p>
        </w:tc>
        <w:tc>
          <w:tcPr>
            <w:tcW w:w="2551" w:type="dxa"/>
          </w:tcPr>
          <w:p w14:paraId="381A944B" w14:textId="77777777" w:rsidR="008A4ABF" w:rsidRDefault="008A4ABF" w:rsidP="008A4ABF">
            <w:pPr>
              <w:bidi/>
              <w:rPr>
                <w:rtl/>
              </w:rPr>
            </w:pPr>
          </w:p>
          <w:p w14:paraId="1BC1CAAC" w14:textId="77777777" w:rsidR="008A4ABF" w:rsidRDefault="008A4ABF" w:rsidP="008A4ABF">
            <w:pPr>
              <w:bidi/>
              <w:rPr>
                <w:rtl/>
              </w:rPr>
            </w:pPr>
          </w:p>
          <w:p w14:paraId="40ECC3BB" w14:textId="77777777" w:rsidR="008A4ABF" w:rsidRDefault="008A4ABF" w:rsidP="008A4ABF">
            <w:pPr>
              <w:bidi/>
              <w:rPr>
                <w:rtl/>
              </w:rPr>
            </w:pPr>
          </w:p>
          <w:p w14:paraId="4B5BAE39" w14:textId="77777777" w:rsidR="008A4ABF" w:rsidRDefault="008A4ABF" w:rsidP="008A4ABF">
            <w:pPr>
              <w:bidi/>
              <w:rPr>
                <w:rtl/>
              </w:rPr>
            </w:pPr>
          </w:p>
          <w:p w14:paraId="384E0C51" w14:textId="77777777" w:rsidR="008A4ABF" w:rsidRDefault="008A4ABF" w:rsidP="008A4ABF">
            <w:pPr>
              <w:bidi/>
              <w:rPr>
                <w:rtl/>
              </w:rPr>
            </w:pPr>
          </w:p>
          <w:p w14:paraId="4EACFF19" w14:textId="3332A0C2" w:rsidR="008A4ABF" w:rsidRDefault="008A4ABF" w:rsidP="008A4ABF">
            <w:pPr>
              <w:bidi/>
            </w:pPr>
          </w:p>
        </w:tc>
        <w:tc>
          <w:tcPr>
            <w:tcW w:w="2459" w:type="dxa"/>
            <w:vAlign w:val="center"/>
          </w:tcPr>
          <w:p w14:paraId="5DC32FA2" w14:textId="77777777" w:rsidR="008A4ABF" w:rsidRPr="00B0711E" w:rsidRDefault="008A4ABF" w:rsidP="00B0711E">
            <w:pPr>
              <w:bidi/>
              <w:rPr>
                <w:b/>
                <w:bCs/>
              </w:rPr>
            </w:pPr>
            <w:r w:rsidRPr="00B0711E">
              <w:rPr>
                <w:rFonts w:hint="cs"/>
                <w:b/>
                <w:bCs/>
                <w:rtl/>
              </w:rPr>
              <w:t xml:space="preserve">المشاركة والإدماج (خصوصاً </w:t>
            </w:r>
            <w:proofErr w:type="gramStart"/>
            <w:r w:rsidRPr="00B0711E">
              <w:rPr>
                <w:rFonts w:hint="cs"/>
                <w:b/>
                <w:bCs/>
                <w:rtl/>
              </w:rPr>
              <w:t>في ما</w:t>
            </w:r>
            <w:proofErr w:type="gramEnd"/>
            <w:r w:rsidRPr="00B0711E">
              <w:rPr>
                <w:rFonts w:hint="cs"/>
                <w:b/>
                <w:bCs/>
                <w:rtl/>
              </w:rPr>
              <w:t xml:space="preserve"> يتعلق بنشر المعلومات والتوعية)</w:t>
            </w:r>
          </w:p>
        </w:tc>
      </w:tr>
      <w:tr w:rsidR="008A4ABF" w14:paraId="6DEB5D00" w14:textId="77777777" w:rsidTr="00B0711E">
        <w:trPr>
          <w:jc w:val="right"/>
        </w:trPr>
        <w:tc>
          <w:tcPr>
            <w:tcW w:w="2268" w:type="dxa"/>
          </w:tcPr>
          <w:p w14:paraId="4353FF1A" w14:textId="77777777" w:rsidR="008A4ABF" w:rsidRPr="00141624" w:rsidRDefault="008A4ABF" w:rsidP="008A4ABF">
            <w:pPr>
              <w:pStyle w:val="Normal1"/>
              <w:widowControl w:val="0"/>
              <w:bidi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6E65F6" w14:textId="77777777" w:rsidR="008A4ABF" w:rsidRDefault="008A4ABF" w:rsidP="008A4ABF">
            <w:pPr>
              <w:bidi/>
            </w:pPr>
          </w:p>
        </w:tc>
        <w:tc>
          <w:tcPr>
            <w:tcW w:w="2410" w:type="dxa"/>
          </w:tcPr>
          <w:p w14:paraId="0E4A35DC" w14:textId="77777777" w:rsidR="008A4ABF" w:rsidRDefault="008A4ABF" w:rsidP="008A4ABF">
            <w:pPr>
              <w:bidi/>
            </w:pPr>
          </w:p>
        </w:tc>
        <w:tc>
          <w:tcPr>
            <w:tcW w:w="2552" w:type="dxa"/>
          </w:tcPr>
          <w:p w14:paraId="5000E1D5" w14:textId="77777777" w:rsidR="008A4ABF" w:rsidRDefault="008A4ABF" w:rsidP="008A4ABF">
            <w:pPr>
              <w:bidi/>
            </w:pPr>
          </w:p>
        </w:tc>
        <w:tc>
          <w:tcPr>
            <w:tcW w:w="2551" w:type="dxa"/>
          </w:tcPr>
          <w:p w14:paraId="4DD16045" w14:textId="77777777" w:rsidR="008A4ABF" w:rsidRDefault="008A4ABF" w:rsidP="008A4ABF">
            <w:pPr>
              <w:bidi/>
              <w:rPr>
                <w:rtl/>
              </w:rPr>
            </w:pPr>
          </w:p>
          <w:p w14:paraId="3025EFC8" w14:textId="77777777" w:rsidR="008A4ABF" w:rsidRDefault="008A4ABF" w:rsidP="008A4ABF">
            <w:pPr>
              <w:bidi/>
              <w:rPr>
                <w:rtl/>
              </w:rPr>
            </w:pPr>
          </w:p>
          <w:p w14:paraId="75FBC076" w14:textId="77777777" w:rsidR="008A4ABF" w:rsidRDefault="008A4ABF" w:rsidP="008A4ABF">
            <w:pPr>
              <w:bidi/>
              <w:rPr>
                <w:rtl/>
              </w:rPr>
            </w:pPr>
          </w:p>
          <w:p w14:paraId="3F1DBF61" w14:textId="77777777" w:rsidR="008A4ABF" w:rsidRDefault="008A4ABF" w:rsidP="008A4ABF">
            <w:pPr>
              <w:bidi/>
              <w:rPr>
                <w:rtl/>
              </w:rPr>
            </w:pPr>
          </w:p>
          <w:p w14:paraId="6FA30578" w14:textId="77777777" w:rsidR="008A4ABF" w:rsidRDefault="008A4ABF" w:rsidP="008A4ABF">
            <w:pPr>
              <w:bidi/>
              <w:rPr>
                <w:rtl/>
              </w:rPr>
            </w:pPr>
          </w:p>
          <w:p w14:paraId="4CE488F6" w14:textId="253B5119" w:rsidR="008A4ABF" w:rsidRDefault="008A4ABF" w:rsidP="008A4ABF">
            <w:pPr>
              <w:bidi/>
            </w:pPr>
          </w:p>
        </w:tc>
        <w:tc>
          <w:tcPr>
            <w:tcW w:w="2459" w:type="dxa"/>
            <w:vAlign w:val="center"/>
          </w:tcPr>
          <w:p w14:paraId="76672460" w14:textId="5D8893D2" w:rsidR="008A4ABF" w:rsidRPr="00B0711E" w:rsidRDefault="008A4ABF" w:rsidP="00B0711E">
            <w:pPr>
              <w:bidi/>
              <w:rPr>
                <w:b/>
                <w:bCs/>
              </w:rPr>
            </w:pPr>
            <w:r w:rsidRPr="00B0711E">
              <w:rPr>
                <w:rFonts w:hint="cs"/>
                <w:b/>
                <w:bCs/>
                <w:rtl/>
              </w:rPr>
              <w:t xml:space="preserve">الوصول الآمن والكريم (خصوصاً </w:t>
            </w:r>
            <w:proofErr w:type="gramStart"/>
            <w:r w:rsidRPr="00B0711E">
              <w:rPr>
                <w:rFonts w:hint="cs"/>
                <w:b/>
                <w:bCs/>
                <w:rtl/>
              </w:rPr>
              <w:t>في ما</w:t>
            </w:r>
            <w:proofErr w:type="gramEnd"/>
            <w:r w:rsidRPr="00B0711E">
              <w:rPr>
                <w:rFonts w:hint="cs"/>
                <w:b/>
                <w:bCs/>
                <w:rtl/>
              </w:rPr>
              <w:t xml:space="preserve"> يتعلق بآليات </w:t>
            </w:r>
            <w:r w:rsidR="00B0711E">
              <w:rPr>
                <w:rFonts w:hint="cs"/>
                <w:b/>
                <w:bCs/>
                <w:rtl/>
                <w:lang w:bidi="ar-SY"/>
              </w:rPr>
              <w:t>إيصال</w:t>
            </w:r>
            <w:r w:rsidRPr="00B0711E">
              <w:rPr>
                <w:rFonts w:hint="cs"/>
                <w:b/>
                <w:bCs/>
                <w:rtl/>
              </w:rPr>
              <w:t xml:space="preserve"> المساعدات النقدية والقسائم)</w:t>
            </w:r>
          </w:p>
        </w:tc>
      </w:tr>
      <w:tr w:rsidR="008A4ABF" w14:paraId="6359BB04" w14:textId="77777777" w:rsidTr="00B0711E">
        <w:trPr>
          <w:jc w:val="right"/>
        </w:trPr>
        <w:tc>
          <w:tcPr>
            <w:tcW w:w="2268" w:type="dxa"/>
          </w:tcPr>
          <w:p w14:paraId="795BB904" w14:textId="77777777" w:rsidR="008A4ABF" w:rsidRPr="00141624" w:rsidRDefault="008A4ABF" w:rsidP="008A4ABF">
            <w:pPr>
              <w:pStyle w:val="Normal1"/>
              <w:widowControl w:val="0"/>
              <w:bidi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D5BD92" w14:textId="77777777" w:rsidR="008A4ABF" w:rsidRDefault="008A4ABF" w:rsidP="008A4ABF">
            <w:pPr>
              <w:bidi/>
            </w:pPr>
          </w:p>
        </w:tc>
        <w:tc>
          <w:tcPr>
            <w:tcW w:w="2410" w:type="dxa"/>
          </w:tcPr>
          <w:p w14:paraId="78D67243" w14:textId="77777777" w:rsidR="008A4ABF" w:rsidRDefault="008A4ABF" w:rsidP="008A4ABF">
            <w:pPr>
              <w:bidi/>
            </w:pPr>
          </w:p>
        </w:tc>
        <w:tc>
          <w:tcPr>
            <w:tcW w:w="2552" w:type="dxa"/>
          </w:tcPr>
          <w:p w14:paraId="55EA6794" w14:textId="77777777" w:rsidR="008A4ABF" w:rsidRDefault="008A4ABF" w:rsidP="008A4ABF">
            <w:pPr>
              <w:bidi/>
            </w:pPr>
          </w:p>
        </w:tc>
        <w:tc>
          <w:tcPr>
            <w:tcW w:w="2551" w:type="dxa"/>
          </w:tcPr>
          <w:p w14:paraId="0707C1FD" w14:textId="77777777" w:rsidR="008A4ABF" w:rsidRDefault="008A4ABF" w:rsidP="008A4ABF">
            <w:pPr>
              <w:bidi/>
              <w:rPr>
                <w:rtl/>
              </w:rPr>
            </w:pPr>
          </w:p>
          <w:p w14:paraId="3DF5B2EA" w14:textId="77777777" w:rsidR="008A4ABF" w:rsidRDefault="008A4ABF" w:rsidP="008A4ABF">
            <w:pPr>
              <w:bidi/>
              <w:rPr>
                <w:rtl/>
              </w:rPr>
            </w:pPr>
          </w:p>
          <w:p w14:paraId="6D348213" w14:textId="77777777" w:rsidR="008A4ABF" w:rsidRDefault="008A4ABF" w:rsidP="008A4ABF">
            <w:pPr>
              <w:bidi/>
              <w:rPr>
                <w:rtl/>
              </w:rPr>
            </w:pPr>
          </w:p>
          <w:p w14:paraId="496DCDDE" w14:textId="5C15C12E" w:rsidR="008A4ABF" w:rsidRDefault="008A4ABF" w:rsidP="008A4ABF">
            <w:pPr>
              <w:bidi/>
              <w:rPr>
                <w:rtl/>
              </w:rPr>
            </w:pPr>
          </w:p>
          <w:p w14:paraId="49A0F3D4" w14:textId="77777777" w:rsidR="008A4ABF" w:rsidRDefault="008A4ABF" w:rsidP="008A4ABF">
            <w:pPr>
              <w:bidi/>
              <w:rPr>
                <w:rtl/>
              </w:rPr>
            </w:pPr>
          </w:p>
          <w:p w14:paraId="1C9480B2" w14:textId="126F0DB7" w:rsidR="008A4ABF" w:rsidRDefault="008A4ABF" w:rsidP="008A4ABF">
            <w:pPr>
              <w:bidi/>
            </w:pPr>
          </w:p>
        </w:tc>
        <w:tc>
          <w:tcPr>
            <w:tcW w:w="2459" w:type="dxa"/>
            <w:vAlign w:val="center"/>
          </w:tcPr>
          <w:p w14:paraId="0819DDAC" w14:textId="77777777" w:rsidR="008A4ABF" w:rsidRPr="00B0711E" w:rsidRDefault="008A4ABF" w:rsidP="00B0711E">
            <w:pPr>
              <w:bidi/>
              <w:rPr>
                <w:b/>
                <w:bCs/>
              </w:rPr>
            </w:pPr>
            <w:r w:rsidRPr="00B0711E">
              <w:rPr>
                <w:rFonts w:hint="cs"/>
                <w:b/>
                <w:bCs/>
                <w:rtl/>
              </w:rPr>
              <w:t>سرية البيانات الشخصية للناجين والأشخاص المعرضين للخطر</w:t>
            </w:r>
          </w:p>
        </w:tc>
      </w:tr>
      <w:tr w:rsidR="008A4ABF" w14:paraId="7FF97BBC" w14:textId="77777777" w:rsidTr="00B0711E">
        <w:trPr>
          <w:jc w:val="right"/>
        </w:trPr>
        <w:tc>
          <w:tcPr>
            <w:tcW w:w="2268" w:type="dxa"/>
          </w:tcPr>
          <w:p w14:paraId="046876C0" w14:textId="77777777" w:rsidR="008A4ABF" w:rsidRPr="00141624" w:rsidRDefault="008A4ABF" w:rsidP="008A4ABF">
            <w:pPr>
              <w:pStyle w:val="Normal1"/>
              <w:widowControl w:val="0"/>
              <w:bidi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A0659D" w14:textId="77777777" w:rsidR="008A4ABF" w:rsidRDefault="008A4ABF" w:rsidP="008A4ABF">
            <w:pPr>
              <w:bidi/>
            </w:pPr>
          </w:p>
        </w:tc>
        <w:tc>
          <w:tcPr>
            <w:tcW w:w="2410" w:type="dxa"/>
          </w:tcPr>
          <w:p w14:paraId="426704E9" w14:textId="77777777" w:rsidR="008A4ABF" w:rsidRDefault="008A4ABF" w:rsidP="008A4ABF">
            <w:pPr>
              <w:bidi/>
            </w:pPr>
          </w:p>
        </w:tc>
        <w:tc>
          <w:tcPr>
            <w:tcW w:w="2552" w:type="dxa"/>
          </w:tcPr>
          <w:p w14:paraId="0534466D" w14:textId="77777777" w:rsidR="008A4ABF" w:rsidRDefault="008A4ABF" w:rsidP="008A4ABF">
            <w:pPr>
              <w:bidi/>
            </w:pPr>
          </w:p>
        </w:tc>
        <w:tc>
          <w:tcPr>
            <w:tcW w:w="2551" w:type="dxa"/>
          </w:tcPr>
          <w:p w14:paraId="7D568E6A" w14:textId="77777777" w:rsidR="008A4ABF" w:rsidRDefault="008A4ABF" w:rsidP="008A4ABF">
            <w:pPr>
              <w:bidi/>
              <w:rPr>
                <w:rtl/>
              </w:rPr>
            </w:pPr>
          </w:p>
          <w:p w14:paraId="01707F1C" w14:textId="77777777" w:rsidR="008A4ABF" w:rsidRDefault="008A4ABF" w:rsidP="008A4ABF">
            <w:pPr>
              <w:bidi/>
              <w:rPr>
                <w:rtl/>
              </w:rPr>
            </w:pPr>
          </w:p>
          <w:p w14:paraId="6321112F" w14:textId="77777777" w:rsidR="008A4ABF" w:rsidRDefault="008A4ABF" w:rsidP="008A4ABF">
            <w:pPr>
              <w:bidi/>
              <w:rPr>
                <w:rtl/>
              </w:rPr>
            </w:pPr>
          </w:p>
          <w:p w14:paraId="52AB30D8" w14:textId="77777777" w:rsidR="008A4ABF" w:rsidRDefault="008A4ABF" w:rsidP="008A4ABF">
            <w:pPr>
              <w:bidi/>
              <w:rPr>
                <w:rtl/>
              </w:rPr>
            </w:pPr>
          </w:p>
          <w:p w14:paraId="07890C29" w14:textId="77777777" w:rsidR="008A4ABF" w:rsidRDefault="008A4ABF" w:rsidP="008A4ABF">
            <w:pPr>
              <w:bidi/>
              <w:rPr>
                <w:rtl/>
              </w:rPr>
            </w:pPr>
          </w:p>
          <w:p w14:paraId="417E66AA" w14:textId="3EB6D7FE" w:rsidR="008A4ABF" w:rsidRPr="008A4ABF" w:rsidRDefault="008A4ABF" w:rsidP="008A4ABF">
            <w:pPr>
              <w:bidi/>
            </w:pPr>
          </w:p>
        </w:tc>
        <w:tc>
          <w:tcPr>
            <w:tcW w:w="2459" w:type="dxa"/>
            <w:vAlign w:val="center"/>
          </w:tcPr>
          <w:p w14:paraId="293561E6" w14:textId="77777777" w:rsidR="008A4ABF" w:rsidRPr="00B0711E" w:rsidRDefault="008A4ABF" w:rsidP="00B0711E">
            <w:pPr>
              <w:bidi/>
              <w:rPr>
                <w:b/>
                <w:bCs/>
              </w:rPr>
            </w:pPr>
            <w:r w:rsidRPr="00B0711E">
              <w:rPr>
                <w:rFonts w:hint="cs"/>
                <w:b/>
                <w:bCs/>
                <w:rtl/>
              </w:rPr>
              <w:t>الأعراف الاجتماعية، والعلاقات مع الشريك، داخل الأسرة المعيشية، ومع المجتمع</w:t>
            </w:r>
          </w:p>
        </w:tc>
      </w:tr>
      <w:tr w:rsidR="008A4ABF" w14:paraId="4074F40D" w14:textId="77777777" w:rsidTr="00B0711E">
        <w:trPr>
          <w:jc w:val="right"/>
        </w:trPr>
        <w:tc>
          <w:tcPr>
            <w:tcW w:w="2268" w:type="dxa"/>
          </w:tcPr>
          <w:p w14:paraId="210CCA91" w14:textId="77777777" w:rsidR="008A4ABF" w:rsidRPr="00141624" w:rsidRDefault="008A4ABF" w:rsidP="008A4ABF">
            <w:pPr>
              <w:pStyle w:val="Normal1"/>
              <w:widowControl w:val="0"/>
              <w:bidi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C3EC7A" w14:textId="77777777" w:rsidR="008A4ABF" w:rsidRDefault="008A4ABF" w:rsidP="008A4ABF">
            <w:pPr>
              <w:bidi/>
            </w:pPr>
          </w:p>
        </w:tc>
        <w:tc>
          <w:tcPr>
            <w:tcW w:w="2410" w:type="dxa"/>
          </w:tcPr>
          <w:p w14:paraId="3153C8F5" w14:textId="77777777" w:rsidR="008A4ABF" w:rsidRDefault="008A4ABF" w:rsidP="008A4ABF">
            <w:pPr>
              <w:bidi/>
            </w:pPr>
          </w:p>
        </w:tc>
        <w:tc>
          <w:tcPr>
            <w:tcW w:w="2552" w:type="dxa"/>
          </w:tcPr>
          <w:p w14:paraId="7651212A" w14:textId="77777777" w:rsidR="008A4ABF" w:rsidRDefault="008A4ABF" w:rsidP="008A4ABF">
            <w:pPr>
              <w:bidi/>
            </w:pPr>
          </w:p>
        </w:tc>
        <w:tc>
          <w:tcPr>
            <w:tcW w:w="2551" w:type="dxa"/>
          </w:tcPr>
          <w:p w14:paraId="4B6C9358" w14:textId="77777777" w:rsidR="008A4ABF" w:rsidRDefault="008A4ABF" w:rsidP="008A4ABF">
            <w:pPr>
              <w:bidi/>
              <w:rPr>
                <w:rtl/>
              </w:rPr>
            </w:pPr>
          </w:p>
          <w:p w14:paraId="6161087A" w14:textId="77777777" w:rsidR="008A4ABF" w:rsidRDefault="008A4ABF" w:rsidP="008A4ABF">
            <w:pPr>
              <w:bidi/>
              <w:rPr>
                <w:rtl/>
              </w:rPr>
            </w:pPr>
          </w:p>
          <w:p w14:paraId="28CCC74C" w14:textId="77777777" w:rsidR="008A4ABF" w:rsidRDefault="008A4ABF" w:rsidP="008A4ABF">
            <w:pPr>
              <w:bidi/>
              <w:rPr>
                <w:rtl/>
              </w:rPr>
            </w:pPr>
          </w:p>
          <w:p w14:paraId="3746D3A8" w14:textId="77777777" w:rsidR="008A4ABF" w:rsidRDefault="008A4ABF" w:rsidP="008A4ABF">
            <w:pPr>
              <w:bidi/>
              <w:rPr>
                <w:rtl/>
              </w:rPr>
            </w:pPr>
          </w:p>
          <w:p w14:paraId="48ADDB5E" w14:textId="77777777" w:rsidR="008A4ABF" w:rsidRDefault="008A4ABF" w:rsidP="008A4ABF">
            <w:pPr>
              <w:bidi/>
              <w:rPr>
                <w:rtl/>
              </w:rPr>
            </w:pPr>
          </w:p>
          <w:p w14:paraId="21724803" w14:textId="2FA42F0D" w:rsidR="008A4ABF" w:rsidRDefault="008A4ABF" w:rsidP="008A4ABF">
            <w:pPr>
              <w:bidi/>
            </w:pPr>
          </w:p>
        </w:tc>
        <w:tc>
          <w:tcPr>
            <w:tcW w:w="2459" w:type="dxa"/>
            <w:vAlign w:val="center"/>
          </w:tcPr>
          <w:p w14:paraId="38416964" w14:textId="77777777" w:rsidR="008A4ABF" w:rsidRPr="00B0711E" w:rsidRDefault="008A4ABF" w:rsidP="00B0711E">
            <w:pPr>
              <w:bidi/>
              <w:rPr>
                <w:b/>
                <w:bCs/>
              </w:rPr>
            </w:pPr>
            <w:r w:rsidRPr="00B0711E">
              <w:rPr>
                <w:rFonts w:hint="cs"/>
                <w:b/>
                <w:bCs/>
                <w:rtl/>
              </w:rPr>
              <w:t>غير ذلك (خاص بالسياق)</w:t>
            </w:r>
          </w:p>
        </w:tc>
      </w:tr>
    </w:tbl>
    <w:p w14:paraId="4279B9AF" w14:textId="77777777" w:rsidR="00883D55" w:rsidRPr="00FD2D75" w:rsidRDefault="00883D55" w:rsidP="00FD2D75">
      <w:pPr>
        <w:pStyle w:val="Normal1"/>
        <w:rPr>
          <w:rFonts w:cstheme="minorBidi"/>
          <w:rtl/>
          <w:lang w:bidi="ar-JO"/>
        </w:rPr>
      </w:pPr>
    </w:p>
    <w:sectPr w:rsidR="00883D55" w:rsidRPr="00FD2D75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9EA05" w14:textId="77777777" w:rsidR="00AE5341" w:rsidRDefault="00AE5341" w:rsidP="00141624">
      <w:pPr>
        <w:spacing w:before="0" w:line="240" w:lineRule="auto"/>
      </w:pPr>
      <w:r>
        <w:separator/>
      </w:r>
    </w:p>
  </w:endnote>
  <w:endnote w:type="continuationSeparator" w:id="0">
    <w:p w14:paraId="1117D47D" w14:textId="77777777" w:rsidR="00AE5341" w:rsidRDefault="00AE5341" w:rsidP="00141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mhuri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00212" w14:textId="77777777" w:rsidR="00AE5341" w:rsidRDefault="00AE5341" w:rsidP="00141624">
      <w:pPr>
        <w:spacing w:before="0" w:line="240" w:lineRule="auto"/>
      </w:pPr>
      <w:r>
        <w:separator/>
      </w:r>
    </w:p>
  </w:footnote>
  <w:footnote w:type="continuationSeparator" w:id="0">
    <w:p w14:paraId="795A9934" w14:textId="77777777" w:rsidR="00AE5341" w:rsidRDefault="00AE5341" w:rsidP="0014162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41624"/>
    <w:rsid w:val="0016526A"/>
    <w:rsid w:val="003174E0"/>
    <w:rsid w:val="004008BE"/>
    <w:rsid w:val="00883D55"/>
    <w:rsid w:val="008A4ABF"/>
    <w:rsid w:val="008D02BB"/>
    <w:rsid w:val="009F03BB"/>
    <w:rsid w:val="00AE5341"/>
    <w:rsid w:val="00B0711E"/>
    <w:rsid w:val="00C7328E"/>
    <w:rsid w:val="00F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D7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Hiba</dc:creator>
  <cp:lastModifiedBy>Dina Hanania</cp:lastModifiedBy>
  <cp:revision>2</cp:revision>
  <dcterms:created xsi:type="dcterms:W3CDTF">2020-08-13T19:32:00Z</dcterms:created>
  <dcterms:modified xsi:type="dcterms:W3CDTF">2020-08-13T19:32:00Z</dcterms:modified>
</cp:coreProperties>
</file>